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3B3D" w:rsidRDefault="00EB3B3D">
      <w:pPr>
        <w:widowControl w:val="0"/>
        <w:spacing w:line="240" w:lineRule="auto"/>
        <w:jc w:val="center"/>
        <w:rPr>
          <w:rFonts w:ascii="Dosis" w:eastAsia="Dosis" w:hAnsi="Dosis" w:cs="Dosis"/>
          <w:sz w:val="24"/>
          <w:szCs w:val="24"/>
        </w:rPr>
      </w:pPr>
      <w:bookmarkStart w:id="0" w:name="_GoBack"/>
      <w:bookmarkEnd w:id="0"/>
    </w:p>
    <w:tbl>
      <w:tblPr>
        <w:tblStyle w:val="a"/>
        <w:tblW w:w="928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710"/>
      </w:tblGrid>
      <w:tr w:rsidR="00EB3B3D">
        <w:trPr>
          <w:trHeight w:val="480"/>
        </w:trPr>
        <w:tc>
          <w:tcPr>
            <w:tcW w:w="9285" w:type="dxa"/>
            <w:gridSpan w:val="2"/>
            <w:shd w:val="clear" w:color="auto" w:fill="A4C2F4"/>
            <w:tcMar>
              <w:top w:w="100" w:type="dxa"/>
              <w:left w:w="100" w:type="dxa"/>
              <w:bottom w:w="100" w:type="dxa"/>
              <w:right w:w="100" w:type="dxa"/>
            </w:tcMar>
          </w:tcPr>
          <w:p w:rsidR="00EB3B3D" w:rsidRDefault="00363120">
            <w:pPr>
              <w:widowControl w:val="0"/>
              <w:spacing w:line="240" w:lineRule="auto"/>
              <w:jc w:val="center"/>
              <w:rPr>
                <w:rFonts w:ascii="Dosis" w:eastAsia="Dosis" w:hAnsi="Dosis" w:cs="Dosis"/>
                <w:sz w:val="32"/>
                <w:szCs w:val="32"/>
              </w:rPr>
            </w:pPr>
            <w:r>
              <w:rPr>
                <w:rFonts w:ascii="Dosis" w:eastAsia="Dosis" w:hAnsi="Dosis" w:cs="Dosis"/>
                <w:sz w:val="32"/>
                <w:szCs w:val="32"/>
              </w:rPr>
              <w:t xml:space="preserve">Summer 2020 Assignments for </w:t>
            </w:r>
          </w:p>
          <w:p w:rsidR="00EB3B3D" w:rsidRDefault="00363120">
            <w:pPr>
              <w:widowControl w:val="0"/>
              <w:spacing w:line="240" w:lineRule="auto"/>
              <w:jc w:val="center"/>
              <w:rPr>
                <w:rFonts w:ascii="Dosis" w:eastAsia="Dosis" w:hAnsi="Dosis" w:cs="Dosis"/>
                <w:sz w:val="32"/>
                <w:szCs w:val="32"/>
              </w:rPr>
            </w:pPr>
            <w:r>
              <w:rPr>
                <w:rFonts w:ascii="Dosis" w:eastAsia="Dosis" w:hAnsi="Dosis" w:cs="Dosis"/>
                <w:b/>
                <w:sz w:val="32"/>
                <w:szCs w:val="32"/>
              </w:rPr>
              <w:t xml:space="preserve">BGA High School Students entering Grades 11 and 12 </w:t>
            </w:r>
          </w:p>
        </w:tc>
      </w:tr>
      <w:tr w:rsidR="00EB3B3D">
        <w:trPr>
          <w:trHeight w:val="460"/>
        </w:trPr>
        <w:tc>
          <w:tcPr>
            <w:tcW w:w="9285" w:type="dxa"/>
            <w:gridSpan w:val="2"/>
            <w:tcMar>
              <w:top w:w="100" w:type="dxa"/>
              <w:left w:w="100" w:type="dxa"/>
              <w:bottom w:w="100" w:type="dxa"/>
              <w:right w:w="100" w:type="dxa"/>
            </w:tcMar>
          </w:tcPr>
          <w:p w:rsidR="00EB3B3D" w:rsidRDefault="00363120">
            <w:pPr>
              <w:jc w:val="center"/>
            </w:pPr>
            <w:r>
              <w:t>Welcome back, 11th and 12th Graders!</w:t>
            </w:r>
          </w:p>
          <w:p w:rsidR="00EB3B3D" w:rsidRDefault="00363120">
            <w:r>
              <w:t xml:space="preserve">We want you to continue your high school journey feeling confident and ready to succeed. In order to do this, we have some work for you to complete by September. This work is due whether we will be in school virtually or in-person in September. </w:t>
            </w:r>
          </w:p>
        </w:tc>
      </w:tr>
      <w:tr w:rsidR="00EB3B3D">
        <w:tc>
          <w:tcPr>
            <w:tcW w:w="1575" w:type="dxa"/>
            <w:shd w:val="clear" w:color="auto" w:fill="B6D7A8"/>
            <w:tcMar>
              <w:top w:w="100" w:type="dxa"/>
              <w:left w:w="100" w:type="dxa"/>
              <w:bottom w:w="100" w:type="dxa"/>
              <w:right w:w="100" w:type="dxa"/>
            </w:tcMar>
          </w:tcPr>
          <w:p w:rsidR="00EB3B3D" w:rsidRDefault="00EB3B3D">
            <w:pPr>
              <w:widowControl w:val="0"/>
              <w:spacing w:line="240" w:lineRule="auto"/>
              <w:jc w:val="center"/>
              <w:rPr>
                <w:rFonts w:ascii="Dosis" w:eastAsia="Dosis" w:hAnsi="Dosis" w:cs="Dosis"/>
                <w:b/>
                <w:sz w:val="28"/>
                <w:szCs w:val="28"/>
              </w:rPr>
            </w:pPr>
          </w:p>
          <w:p w:rsidR="00EB3B3D" w:rsidRDefault="00EB3B3D">
            <w:pPr>
              <w:widowControl w:val="0"/>
              <w:spacing w:line="240" w:lineRule="auto"/>
              <w:jc w:val="center"/>
              <w:rPr>
                <w:rFonts w:ascii="Dosis" w:eastAsia="Dosis" w:hAnsi="Dosis" w:cs="Dosis"/>
                <w:b/>
                <w:sz w:val="28"/>
                <w:szCs w:val="28"/>
              </w:rPr>
            </w:pPr>
          </w:p>
          <w:p w:rsidR="00EB3B3D" w:rsidRDefault="00363120">
            <w:pPr>
              <w:widowControl w:val="0"/>
              <w:spacing w:line="240" w:lineRule="auto"/>
              <w:jc w:val="center"/>
              <w:rPr>
                <w:rFonts w:ascii="Dosis" w:eastAsia="Dosis" w:hAnsi="Dosis" w:cs="Dosis"/>
                <w:b/>
                <w:sz w:val="28"/>
                <w:szCs w:val="28"/>
              </w:rPr>
            </w:pPr>
            <w:r>
              <w:rPr>
                <w:rFonts w:ascii="Dosis" w:eastAsia="Dosis" w:hAnsi="Dosis" w:cs="Dosis"/>
                <w:b/>
                <w:sz w:val="28"/>
                <w:szCs w:val="28"/>
              </w:rPr>
              <w:t>What?</w:t>
            </w:r>
          </w:p>
        </w:tc>
        <w:tc>
          <w:tcPr>
            <w:tcW w:w="7710" w:type="dxa"/>
            <w:shd w:val="clear" w:color="auto" w:fill="auto"/>
            <w:tcMar>
              <w:top w:w="100" w:type="dxa"/>
              <w:left w:w="100" w:type="dxa"/>
              <w:bottom w:w="100" w:type="dxa"/>
              <w:right w:w="100" w:type="dxa"/>
            </w:tcMar>
          </w:tcPr>
          <w:p w:rsidR="00EB3B3D" w:rsidRDefault="00363120">
            <w:pPr>
              <w:widowControl w:val="0"/>
              <w:numPr>
                <w:ilvl w:val="0"/>
                <w:numId w:val="2"/>
              </w:numPr>
              <w:spacing w:line="240" w:lineRule="auto"/>
            </w:pPr>
            <w:r>
              <w:rPr>
                <w:b/>
              </w:rPr>
              <w:t>60 minutes</w:t>
            </w:r>
            <w:r>
              <w:t xml:space="preserve"> in the “Diagnostic Arena” on </w:t>
            </w:r>
            <w:hyperlink r:id="rId7">
              <w:r>
                <w:rPr>
                  <w:color w:val="1155CC"/>
                  <w:u w:val="single"/>
                </w:rPr>
                <w:t>IXL.com</w:t>
              </w:r>
            </w:hyperlink>
            <w:r>
              <w:t xml:space="preserve"> each week.</w:t>
            </w:r>
          </w:p>
          <w:p w:rsidR="00EB3B3D" w:rsidRDefault="00363120">
            <w:pPr>
              <w:widowControl w:val="0"/>
              <w:numPr>
                <w:ilvl w:val="0"/>
                <w:numId w:val="2"/>
              </w:numPr>
              <w:spacing w:line="240" w:lineRule="auto"/>
            </w:pPr>
            <w:r>
              <w:rPr>
                <w:b/>
              </w:rPr>
              <w:t>Two hours</w:t>
            </w:r>
            <w:r>
              <w:t xml:space="preserve"> of</w:t>
            </w:r>
            <w:r>
              <w:rPr>
                <w:b/>
                <w:u w:val="single"/>
              </w:rPr>
              <w:t xml:space="preserve"> MATH</w:t>
            </w:r>
            <w:r>
              <w:t xml:space="preserve"> skills from your “Recommendations” wall on IXL each week.</w:t>
            </w:r>
          </w:p>
          <w:p w:rsidR="00EB3B3D" w:rsidRDefault="00363120">
            <w:pPr>
              <w:widowControl w:val="0"/>
              <w:numPr>
                <w:ilvl w:val="0"/>
                <w:numId w:val="2"/>
              </w:numPr>
              <w:spacing w:line="240" w:lineRule="auto"/>
            </w:pPr>
            <w:hyperlink r:id="rId8">
              <w:r>
                <w:rPr>
                  <w:color w:val="1155CC"/>
                  <w:u w:val="single"/>
                </w:rPr>
                <w:t>BGA Summer Reading Assignment</w:t>
              </w:r>
            </w:hyperlink>
            <w:r>
              <w:rPr>
                <w:b/>
              </w:rPr>
              <w:t xml:space="preserve"> </w:t>
            </w:r>
          </w:p>
          <w:p w:rsidR="00EB3B3D" w:rsidRDefault="00EB3B3D">
            <w:pPr>
              <w:widowControl w:val="0"/>
              <w:spacing w:line="240" w:lineRule="auto"/>
              <w:rPr>
                <w:b/>
              </w:rPr>
            </w:pPr>
          </w:p>
          <w:p w:rsidR="00EB3B3D" w:rsidRDefault="00363120">
            <w:pPr>
              <w:widowControl w:val="0"/>
              <w:spacing w:line="240" w:lineRule="auto"/>
              <w:jc w:val="center"/>
              <w:rPr>
                <w:highlight w:val="yellow"/>
              </w:rPr>
            </w:pPr>
            <w:hyperlink r:id="rId9">
              <w:r>
                <w:rPr>
                  <w:color w:val="1155CC"/>
                  <w:highlight w:val="yellow"/>
                  <w:u w:val="single"/>
                </w:rPr>
                <w:t>Click here for a helpful “How To” video</w:t>
              </w:r>
            </w:hyperlink>
            <w:r>
              <w:rPr>
                <w:highlight w:val="yellow"/>
              </w:rPr>
              <w:t xml:space="preserve"> that will get you started on your IXL summer assignments!</w:t>
            </w:r>
          </w:p>
          <w:p w:rsidR="00EB3B3D" w:rsidRDefault="00EB3B3D">
            <w:pPr>
              <w:widowControl w:val="0"/>
              <w:spacing w:line="240" w:lineRule="auto"/>
              <w:jc w:val="center"/>
              <w:rPr>
                <w:highlight w:val="yellow"/>
              </w:rPr>
            </w:pPr>
          </w:p>
          <w:p w:rsidR="00EB3B3D" w:rsidRDefault="00363120">
            <w:pPr>
              <w:widowControl w:val="0"/>
              <w:spacing w:line="240" w:lineRule="auto"/>
              <w:jc w:val="center"/>
              <w:rPr>
                <w:highlight w:val="yellow"/>
              </w:rPr>
            </w:pPr>
            <w:hyperlink r:id="rId10">
              <w:r>
                <w:rPr>
                  <w:color w:val="1155CC"/>
                  <w:highlight w:val="yellow"/>
                  <w:u w:val="single"/>
                </w:rPr>
                <w:t>Click here for another “How To” video</w:t>
              </w:r>
            </w:hyperlink>
            <w:r>
              <w:rPr>
                <w:highlight w:val="yellow"/>
              </w:rPr>
              <w:t xml:space="preserve"> that will help you set your IXL Recommendations wall to math skills only. </w:t>
            </w:r>
          </w:p>
        </w:tc>
      </w:tr>
      <w:tr w:rsidR="00EB3B3D">
        <w:tc>
          <w:tcPr>
            <w:tcW w:w="1575" w:type="dxa"/>
            <w:shd w:val="clear" w:color="auto" w:fill="B6D7A8"/>
            <w:tcMar>
              <w:top w:w="100" w:type="dxa"/>
              <w:left w:w="100" w:type="dxa"/>
              <w:bottom w:w="100" w:type="dxa"/>
              <w:right w:w="100" w:type="dxa"/>
            </w:tcMar>
          </w:tcPr>
          <w:p w:rsidR="00EB3B3D" w:rsidRDefault="00363120">
            <w:pPr>
              <w:widowControl w:val="0"/>
              <w:spacing w:line="240" w:lineRule="auto"/>
              <w:jc w:val="center"/>
              <w:rPr>
                <w:rFonts w:ascii="Dosis" w:eastAsia="Dosis" w:hAnsi="Dosis" w:cs="Dosis"/>
                <w:b/>
                <w:sz w:val="28"/>
                <w:szCs w:val="28"/>
              </w:rPr>
            </w:pPr>
            <w:r>
              <w:rPr>
                <w:rFonts w:ascii="Dosis" w:eastAsia="Dosis" w:hAnsi="Dosis" w:cs="Dosis"/>
                <w:b/>
                <w:sz w:val="28"/>
                <w:szCs w:val="28"/>
              </w:rPr>
              <w:t>Why?</w:t>
            </w:r>
          </w:p>
        </w:tc>
        <w:tc>
          <w:tcPr>
            <w:tcW w:w="7710" w:type="dxa"/>
            <w:shd w:val="clear" w:color="auto" w:fill="auto"/>
            <w:tcMar>
              <w:top w:w="100" w:type="dxa"/>
              <w:left w:w="100" w:type="dxa"/>
              <w:bottom w:w="100" w:type="dxa"/>
              <w:right w:w="100" w:type="dxa"/>
            </w:tcMar>
          </w:tcPr>
          <w:p w:rsidR="00EB3B3D" w:rsidRDefault="00363120">
            <w:r>
              <w:t>Doing this work will help you keep your skills sharp and ready for success!</w:t>
            </w:r>
          </w:p>
        </w:tc>
      </w:tr>
      <w:tr w:rsidR="00EB3B3D">
        <w:tc>
          <w:tcPr>
            <w:tcW w:w="1575" w:type="dxa"/>
            <w:shd w:val="clear" w:color="auto" w:fill="B6D7A8"/>
            <w:tcMar>
              <w:top w:w="100" w:type="dxa"/>
              <w:left w:w="100" w:type="dxa"/>
              <w:bottom w:w="100" w:type="dxa"/>
              <w:right w:w="100" w:type="dxa"/>
            </w:tcMar>
          </w:tcPr>
          <w:p w:rsidR="00EB3B3D" w:rsidRDefault="00363120">
            <w:pPr>
              <w:widowControl w:val="0"/>
              <w:spacing w:line="240" w:lineRule="auto"/>
              <w:jc w:val="center"/>
              <w:rPr>
                <w:rFonts w:ascii="Dosis" w:eastAsia="Dosis" w:hAnsi="Dosis" w:cs="Dosis"/>
                <w:b/>
                <w:sz w:val="28"/>
                <w:szCs w:val="28"/>
              </w:rPr>
            </w:pPr>
            <w:r>
              <w:rPr>
                <w:rFonts w:ascii="Dosis" w:eastAsia="Dosis" w:hAnsi="Dosis" w:cs="Dosis"/>
                <w:b/>
                <w:sz w:val="28"/>
                <w:szCs w:val="28"/>
              </w:rPr>
              <w:t>How do I turn my work in?</w:t>
            </w:r>
          </w:p>
        </w:tc>
        <w:tc>
          <w:tcPr>
            <w:tcW w:w="7710" w:type="dxa"/>
            <w:shd w:val="clear" w:color="auto" w:fill="auto"/>
            <w:tcMar>
              <w:top w:w="100" w:type="dxa"/>
              <w:left w:w="100" w:type="dxa"/>
              <w:bottom w:w="100" w:type="dxa"/>
              <w:right w:w="100" w:type="dxa"/>
            </w:tcMar>
          </w:tcPr>
          <w:p w:rsidR="00EB3B3D" w:rsidRDefault="00363120">
            <w:pPr>
              <w:widowControl w:val="0"/>
              <w:numPr>
                <w:ilvl w:val="0"/>
                <w:numId w:val="1"/>
              </w:numPr>
              <w:spacing w:line="240" w:lineRule="auto"/>
            </w:pPr>
            <w:r>
              <w:t xml:space="preserve">IXL will keep track of the time you spent, the work you completed, and your progress. </w:t>
            </w:r>
            <w:r>
              <w:rPr>
                <w:b/>
              </w:rPr>
              <w:t xml:space="preserve">Besides logging in and doing the work, you do not need to do anything else to turn in your IXL work. </w:t>
            </w:r>
          </w:p>
          <w:p w:rsidR="00EB3B3D" w:rsidRDefault="00363120">
            <w:pPr>
              <w:widowControl w:val="0"/>
              <w:numPr>
                <w:ilvl w:val="0"/>
                <w:numId w:val="1"/>
              </w:numPr>
              <w:spacing w:line="240" w:lineRule="auto"/>
            </w:pPr>
            <w:r>
              <w:t xml:space="preserve">For the </w:t>
            </w:r>
            <w:hyperlink r:id="rId11">
              <w:r>
                <w:rPr>
                  <w:color w:val="1155CC"/>
                  <w:u w:val="single"/>
                </w:rPr>
                <w:t>BGA Summer Reading Assignment</w:t>
              </w:r>
            </w:hyperlink>
            <w:r>
              <w:t xml:space="preserve">, please follow the directions provided. </w:t>
            </w:r>
          </w:p>
        </w:tc>
      </w:tr>
      <w:tr w:rsidR="00EB3B3D">
        <w:tc>
          <w:tcPr>
            <w:tcW w:w="1575" w:type="dxa"/>
            <w:shd w:val="clear" w:color="auto" w:fill="B6D7A8"/>
            <w:tcMar>
              <w:top w:w="100" w:type="dxa"/>
              <w:left w:w="100" w:type="dxa"/>
              <w:bottom w:w="100" w:type="dxa"/>
              <w:right w:w="100" w:type="dxa"/>
            </w:tcMar>
          </w:tcPr>
          <w:p w:rsidR="00EB3B3D" w:rsidRDefault="00EB3B3D">
            <w:pPr>
              <w:widowControl w:val="0"/>
              <w:spacing w:line="240" w:lineRule="auto"/>
              <w:jc w:val="center"/>
              <w:rPr>
                <w:rFonts w:ascii="Dosis" w:eastAsia="Dosis" w:hAnsi="Dosis" w:cs="Dosis"/>
                <w:b/>
                <w:sz w:val="28"/>
                <w:szCs w:val="28"/>
              </w:rPr>
            </w:pPr>
          </w:p>
          <w:p w:rsidR="00EB3B3D" w:rsidRDefault="00363120">
            <w:pPr>
              <w:widowControl w:val="0"/>
              <w:spacing w:line="240" w:lineRule="auto"/>
              <w:jc w:val="center"/>
              <w:rPr>
                <w:rFonts w:ascii="Dosis" w:eastAsia="Dosis" w:hAnsi="Dosis" w:cs="Dosis"/>
                <w:b/>
                <w:sz w:val="28"/>
                <w:szCs w:val="28"/>
              </w:rPr>
            </w:pPr>
            <w:r>
              <w:rPr>
                <w:rFonts w:ascii="Dosis" w:eastAsia="Dosis" w:hAnsi="Dosis" w:cs="Dosis"/>
                <w:b/>
                <w:sz w:val="28"/>
                <w:szCs w:val="28"/>
              </w:rPr>
              <w:t>When is it due?</w:t>
            </w:r>
          </w:p>
        </w:tc>
        <w:tc>
          <w:tcPr>
            <w:tcW w:w="7710" w:type="dxa"/>
            <w:shd w:val="clear" w:color="auto" w:fill="auto"/>
            <w:tcMar>
              <w:top w:w="100" w:type="dxa"/>
              <w:left w:w="100" w:type="dxa"/>
              <w:bottom w:w="100" w:type="dxa"/>
              <w:right w:w="100" w:type="dxa"/>
            </w:tcMar>
          </w:tcPr>
          <w:p w:rsidR="00EB3B3D" w:rsidRDefault="00363120">
            <w:pPr>
              <w:widowControl w:val="0"/>
              <w:spacing w:line="240" w:lineRule="auto"/>
              <w:rPr>
                <w:b/>
              </w:rPr>
            </w:pPr>
            <w:r>
              <w:t xml:space="preserve">All of the IXL summer work is due by </w:t>
            </w:r>
            <w:r>
              <w:rPr>
                <w:b/>
              </w:rPr>
              <w:t xml:space="preserve">Monday, September 14th, 2020. </w:t>
            </w:r>
          </w:p>
          <w:p w:rsidR="00EB3B3D" w:rsidRDefault="00EB3B3D">
            <w:pPr>
              <w:widowControl w:val="0"/>
              <w:spacing w:line="240" w:lineRule="auto"/>
            </w:pPr>
          </w:p>
          <w:p w:rsidR="00EB3B3D" w:rsidRDefault="00363120">
            <w:pPr>
              <w:widowControl w:val="0"/>
              <w:spacing w:line="240" w:lineRule="auto"/>
              <w:rPr>
                <w:b/>
              </w:rPr>
            </w:pPr>
            <w:r>
              <w:t xml:space="preserve">The Summer Reading Assignment is due </w:t>
            </w:r>
            <w:r>
              <w:rPr>
                <w:b/>
              </w:rPr>
              <w:t>Frida</w:t>
            </w:r>
            <w:r>
              <w:rPr>
                <w:b/>
              </w:rPr>
              <w:t xml:space="preserve">y, September 11th, 2020. </w:t>
            </w:r>
          </w:p>
          <w:p w:rsidR="00EB3B3D" w:rsidRDefault="00EB3B3D">
            <w:pPr>
              <w:widowControl w:val="0"/>
              <w:spacing w:line="240" w:lineRule="auto"/>
            </w:pPr>
          </w:p>
          <w:p w:rsidR="00EB3B3D" w:rsidRDefault="00363120">
            <w:pPr>
              <w:widowControl w:val="0"/>
              <w:spacing w:line="240" w:lineRule="auto"/>
              <w:rPr>
                <w:b/>
              </w:rPr>
            </w:pPr>
            <w:r>
              <w:t>Do some work each week and do not leave it all to the last week of summer!</w:t>
            </w:r>
          </w:p>
        </w:tc>
      </w:tr>
      <w:tr w:rsidR="00EB3B3D">
        <w:tc>
          <w:tcPr>
            <w:tcW w:w="1575" w:type="dxa"/>
            <w:shd w:val="clear" w:color="auto" w:fill="B6D7A8"/>
            <w:tcMar>
              <w:top w:w="100" w:type="dxa"/>
              <w:left w:w="100" w:type="dxa"/>
              <w:bottom w:w="100" w:type="dxa"/>
              <w:right w:w="100" w:type="dxa"/>
            </w:tcMar>
          </w:tcPr>
          <w:p w:rsidR="00EB3B3D" w:rsidRDefault="00363120">
            <w:pPr>
              <w:widowControl w:val="0"/>
              <w:spacing w:line="240" w:lineRule="auto"/>
              <w:jc w:val="center"/>
              <w:rPr>
                <w:rFonts w:ascii="Dosis" w:eastAsia="Dosis" w:hAnsi="Dosis" w:cs="Dosis"/>
                <w:b/>
                <w:sz w:val="28"/>
                <w:szCs w:val="28"/>
              </w:rPr>
            </w:pPr>
            <w:r>
              <w:rPr>
                <w:rFonts w:ascii="Dosis" w:eastAsia="Dosis" w:hAnsi="Dosis" w:cs="Dosis"/>
                <w:b/>
                <w:sz w:val="28"/>
                <w:szCs w:val="28"/>
              </w:rPr>
              <w:t>Who can I contact if I have questions?</w:t>
            </w:r>
          </w:p>
        </w:tc>
        <w:tc>
          <w:tcPr>
            <w:tcW w:w="7710" w:type="dxa"/>
            <w:shd w:val="clear" w:color="auto" w:fill="auto"/>
            <w:tcMar>
              <w:top w:w="100" w:type="dxa"/>
              <w:left w:w="100" w:type="dxa"/>
              <w:bottom w:w="100" w:type="dxa"/>
              <w:right w:w="100" w:type="dxa"/>
            </w:tcMar>
          </w:tcPr>
          <w:p w:rsidR="00EB3B3D" w:rsidRDefault="00363120">
            <w:pPr>
              <w:widowControl w:val="0"/>
              <w:spacing w:line="240" w:lineRule="auto"/>
            </w:pPr>
            <w:r>
              <w:t>If you have questions please email aperez@bostongreenacademy.org</w:t>
            </w:r>
          </w:p>
          <w:p w:rsidR="00EB3B3D" w:rsidRDefault="00EB3B3D">
            <w:pPr>
              <w:widowControl w:val="0"/>
              <w:spacing w:line="240" w:lineRule="auto"/>
              <w:rPr>
                <w:b/>
              </w:rPr>
            </w:pPr>
          </w:p>
          <w:p w:rsidR="00EB3B3D" w:rsidRDefault="00363120">
            <w:pPr>
              <w:widowControl w:val="0"/>
              <w:spacing w:line="240" w:lineRule="auto"/>
              <w:rPr>
                <w:b/>
              </w:rPr>
            </w:pPr>
            <w:r>
              <w:rPr>
                <w:b/>
              </w:rPr>
              <w:t>Other Helpful Videos:</w:t>
            </w:r>
          </w:p>
          <w:p w:rsidR="00EB3B3D" w:rsidRDefault="00363120">
            <w:pPr>
              <w:widowControl w:val="0"/>
              <w:spacing w:line="240" w:lineRule="auto"/>
            </w:pPr>
            <w:hyperlink r:id="rId12">
              <w:r>
                <w:rPr>
                  <w:color w:val="1155CC"/>
                  <w:u w:val="single"/>
                </w:rPr>
                <w:t>IXL Parent Guide</w:t>
              </w:r>
            </w:hyperlink>
          </w:p>
          <w:p w:rsidR="00EB3B3D" w:rsidRDefault="00363120">
            <w:pPr>
              <w:widowControl w:val="0"/>
              <w:spacing w:line="240" w:lineRule="auto"/>
            </w:pPr>
            <w:hyperlink r:id="rId13">
              <w:r>
                <w:rPr>
                  <w:color w:val="1155CC"/>
                  <w:u w:val="single"/>
                </w:rPr>
                <w:t>The Diagnostic Arena</w:t>
              </w:r>
            </w:hyperlink>
          </w:p>
          <w:p w:rsidR="00EB3B3D" w:rsidRDefault="00363120">
            <w:pPr>
              <w:widowControl w:val="0"/>
              <w:spacing w:line="240" w:lineRule="auto"/>
            </w:pPr>
            <w:hyperlink r:id="rId14">
              <w:r>
                <w:rPr>
                  <w:color w:val="1155CC"/>
                  <w:u w:val="single"/>
                </w:rPr>
                <w:t>Getting Started on IXL</w:t>
              </w:r>
            </w:hyperlink>
          </w:p>
        </w:tc>
      </w:tr>
    </w:tbl>
    <w:p w:rsidR="00EB3B3D" w:rsidRDefault="00EB3B3D"/>
    <w:sectPr w:rsidR="00EB3B3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120" w:rsidRDefault="00363120">
      <w:pPr>
        <w:spacing w:line="240" w:lineRule="auto"/>
      </w:pPr>
      <w:r>
        <w:separator/>
      </w:r>
    </w:p>
  </w:endnote>
  <w:endnote w:type="continuationSeparator" w:id="0">
    <w:p w:rsidR="00363120" w:rsidRDefault="00363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osi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20" w:rsidRDefault="00861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20" w:rsidRDefault="00861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20" w:rsidRDefault="00861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120" w:rsidRDefault="00363120">
      <w:pPr>
        <w:spacing w:line="240" w:lineRule="auto"/>
      </w:pPr>
      <w:r>
        <w:separator/>
      </w:r>
    </w:p>
  </w:footnote>
  <w:footnote w:type="continuationSeparator" w:id="0">
    <w:p w:rsidR="00363120" w:rsidRDefault="003631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20" w:rsidRDefault="00861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B3D" w:rsidRDefault="00363120">
    <w:pPr>
      <w:widowControl w:val="0"/>
      <w:spacing w:line="240" w:lineRule="auto"/>
      <w:jc w:val="center"/>
    </w:pPr>
    <w:r>
      <w:rPr>
        <w:rFonts w:ascii="Dosis" w:eastAsia="Dosis" w:hAnsi="Dosis" w:cs="Dosis"/>
        <w:noProof/>
        <w:sz w:val="24"/>
        <w:szCs w:val="24"/>
      </w:rPr>
      <w:drawing>
        <wp:inline distT="114300" distB="114300" distL="114300" distR="114300">
          <wp:extent cx="2157413" cy="1009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948"/>
                  <a:stretch>
                    <a:fillRect/>
                  </a:stretch>
                </pic:blipFill>
                <pic:spPr>
                  <a:xfrm>
                    <a:off x="0" y="0"/>
                    <a:ext cx="2157413" cy="1009650"/>
                  </a:xfrm>
                  <a:prstGeom prst="rect">
                    <a:avLst/>
                  </a:prstGeom>
                  <a:ln/>
                </pic:spPr>
              </pic:pic>
            </a:graphicData>
          </a:graphic>
        </wp:inline>
      </w:drawing>
    </w:r>
    <w:r>
      <w:rPr>
        <w:rFonts w:ascii="Dosis" w:eastAsia="Dosis" w:hAnsi="Dosis" w:cs="Dosis"/>
        <w:noProof/>
        <w:sz w:val="24"/>
        <w:szCs w:val="24"/>
      </w:rPr>
      <w:drawing>
        <wp:inline distT="114300" distB="114300" distL="114300" distR="114300">
          <wp:extent cx="1008649" cy="10086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8649" cy="100864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20" w:rsidRDefault="00861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02814"/>
    <w:multiLevelType w:val="multilevel"/>
    <w:tmpl w:val="899A4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4D217C"/>
    <w:multiLevelType w:val="multilevel"/>
    <w:tmpl w:val="9C0E4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3D"/>
    <w:rsid w:val="00363120"/>
    <w:rsid w:val="00861C20"/>
    <w:rsid w:val="00EB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F3424-98FA-574A-9495-1311FBAE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61C20"/>
    <w:pPr>
      <w:tabs>
        <w:tab w:val="center" w:pos="4680"/>
        <w:tab w:val="right" w:pos="9360"/>
      </w:tabs>
      <w:spacing w:line="240" w:lineRule="auto"/>
    </w:pPr>
  </w:style>
  <w:style w:type="character" w:customStyle="1" w:styleId="HeaderChar">
    <w:name w:val="Header Char"/>
    <w:basedOn w:val="DefaultParagraphFont"/>
    <w:link w:val="Header"/>
    <w:uiPriority w:val="99"/>
    <w:rsid w:val="00861C20"/>
  </w:style>
  <w:style w:type="paragraph" w:styleId="Footer">
    <w:name w:val="footer"/>
    <w:basedOn w:val="Normal"/>
    <w:link w:val="FooterChar"/>
    <w:uiPriority w:val="99"/>
    <w:unhideWhenUsed/>
    <w:rsid w:val="00861C20"/>
    <w:pPr>
      <w:tabs>
        <w:tab w:val="center" w:pos="4680"/>
        <w:tab w:val="right" w:pos="9360"/>
      </w:tabs>
      <w:spacing w:line="240" w:lineRule="auto"/>
    </w:pPr>
  </w:style>
  <w:style w:type="character" w:customStyle="1" w:styleId="FooterChar">
    <w:name w:val="Footer Char"/>
    <w:basedOn w:val="DefaultParagraphFont"/>
    <w:link w:val="Footer"/>
    <w:uiPriority w:val="99"/>
    <w:rsid w:val="0086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uFQ_yJnx3sz0myaYMrvAhao7lE6eozzbE5RPgzskRsQ/edit?usp=sharing" TargetMode="External"/><Relationship Id="rId13" Type="http://schemas.openxmlformats.org/officeDocument/2006/relationships/hyperlink" Target="https://www.youtube.com/watch?v=CS3ePIQheB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xl.com/" TargetMode="External"/><Relationship Id="rId12" Type="http://schemas.openxmlformats.org/officeDocument/2006/relationships/hyperlink" Target="https://www.youtube.com/watch?v=2CWj9G-NuO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7AP7_qWJ7d4bFNhRBr-hFuo_MPRad3XvsjPUFzI1R5o/edit?usp=sha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RosL1eWI4Z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youtu.be/4bddeUevRY0" TargetMode="External"/><Relationship Id="rId14" Type="http://schemas.openxmlformats.org/officeDocument/2006/relationships/hyperlink" Target="https://www.youtube.com/watch?v=-PsuD8X3YO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Kunst</cp:lastModifiedBy>
  <cp:revision>2</cp:revision>
  <dcterms:created xsi:type="dcterms:W3CDTF">2020-06-17T12:22:00Z</dcterms:created>
  <dcterms:modified xsi:type="dcterms:W3CDTF">2020-06-17T12:22:00Z</dcterms:modified>
</cp:coreProperties>
</file>